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77ABA3">
      <w:pPr>
        <w:pStyle w:val="5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附件1</w:t>
      </w:r>
    </w:p>
    <w:p w14:paraId="37AC46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color w:val="auto"/>
          <w:sz w:val="36"/>
          <w:szCs w:val="2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z w:val="36"/>
          <w:szCs w:val="24"/>
          <w:lang w:val="en-US" w:eastAsia="zh-CN"/>
        </w:rPr>
        <w:t>宁德师范学院简介</w:t>
      </w:r>
    </w:p>
    <w:p w14:paraId="1322FA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_GB2312" w:hAnsi="仿宋_GB2312" w:eastAsia="仿宋_GB2312" w:cs="仿宋_GB2312"/>
          <w:color w:val="auto"/>
        </w:rPr>
      </w:pPr>
    </w:p>
    <w:p w14:paraId="72D370E7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宁德师范学院是教育部批准成立的全日制普通本科高校。办学历史可追溯到1958年成立的福安师范专科学校（1962年停办），1978年12月经国务院同意，教育部发文批准成立宁德师范专科学校，1990年8月闽东职业大学并入宁德师范专科学校，1994年3月更名为宁德师范高等专科学校，2010年3月教育部同意升格为本科层次的宁德师范学院，2014年获学士学位授予权，2016年通过教育部本科教学工作合格评估，2017年设立二级医学院，2020年确定宁德市医院为直属附属医院，2022年学校入选福建省一流应用型本科高校，2024年增列为硕士学位授予单位，并获批教育、材料与化工和生物与医药等3个硕士学位授权点。现有全日制本科在校生近12000人，15个二级学院，40个本科专业，涵盖教育学、文学、理学、工学、农学、法学、医学、管理学和艺术学等学科门类。</w:t>
      </w:r>
    </w:p>
    <w:p w14:paraId="7DE038F0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/>
        <w:spacing w:before="161" w:beforeLines="50" w:after="161" w:afterLines="50" w:line="560" w:lineRule="exact"/>
        <w:ind w:firstLine="723" w:firstLineChars="200"/>
        <w:textAlignment w:val="auto"/>
        <w:rPr>
          <w:rFonts w:hint="eastAsia" w:ascii="仿宋_GB2312" w:hAnsi="仿宋_GB2312" w:eastAsia="仿宋_GB2312" w:cs="仿宋_GB2312"/>
          <w:b/>
          <w:bCs/>
          <w:kern w:val="2"/>
          <w:sz w:val="36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6"/>
          <w:szCs w:val="36"/>
          <w:lang w:val="en-US" w:eastAsia="zh-CN" w:bidi="ar-SA"/>
        </w:rPr>
        <w:t>办学条件</w:t>
      </w:r>
    </w:p>
    <w:p w14:paraId="24F3D67F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学校占地面积1047.59亩，校舍建筑面积约35.04万平方米。馆藏纸质书刊超124万册，电子图书227万余册，中外文电子期刊41万余册，学位论文达1098万余篇（册），音视频近8万小时，拥有中国知网、万方数据、维普经纶知识资源系统、超星电子资源库、福建省高校数字图书馆、师范教育资源库及案例系统——未来学堂、大学专业课学习数据库等，加入CALIS、CADAL等共享平台，实现图书文献信息资源共建共享。</w:t>
      </w:r>
    </w:p>
    <w:p w14:paraId="35FFC075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/>
        <w:spacing w:before="161" w:beforeLines="50" w:after="161" w:afterLines="50" w:line="560" w:lineRule="exact"/>
        <w:ind w:firstLine="723" w:firstLineChars="200"/>
        <w:textAlignment w:val="auto"/>
        <w:rPr>
          <w:rFonts w:hint="eastAsia" w:ascii="仿宋_GB2312" w:hAnsi="仿宋_GB2312" w:eastAsia="仿宋_GB2312" w:cs="仿宋_GB2312"/>
          <w:b/>
          <w:bCs/>
          <w:kern w:val="2"/>
          <w:sz w:val="36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6"/>
          <w:szCs w:val="36"/>
          <w:lang w:val="en-US" w:eastAsia="zh-CN" w:bidi="ar-SA"/>
        </w:rPr>
        <w:t>基层党组织</w:t>
      </w:r>
    </w:p>
    <w:p w14:paraId="41C5F150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/>
        <w:spacing w:before="161" w:beforeLines="50" w:after="161" w:afterLines="5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全校共有114个基层党组织，包括1个校党委，13个二级学院党委，1个机关党委，1个直属附属医院党委，98个党支部。入选全省高校党建工作标杆学院1个、样板支部10个和“双带头人”教师党支部书记工作室2个。截止2025年8月，共有党员1478人，其中在职教职工党员547人，占在职教职工总数的62.37%；在职医护员工党员466人，占在职医护员工总数的21.4%；学生党员316人，占学生总数的3.84%；离退休教职工党员149人，占离退休教职工总数的33.1%。</w:t>
      </w:r>
    </w:p>
    <w:p w14:paraId="7D333BE9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/>
        <w:spacing w:before="161" w:beforeLines="50" w:after="161" w:afterLines="50" w:line="560" w:lineRule="exact"/>
        <w:ind w:firstLine="723" w:firstLineChars="200"/>
        <w:textAlignment w:val="auto"/>
        <w:rPr>
          <w:rFonts w:hint="eastAsia" w:ascii="仿宋_GB2312" w:hAnsi="仿宋_GB2312" w:eastAsia="仿宋_GB2312" w:cs="仿宋_GB2312"/>
          <w:b/>
          <w:bCs/>
          <w:kern w:val="2"/>
          <w:sz w:val="36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6"/>
          <w:szCs w:val="36"/>
          <w:lang w:val="en-US" w:eastAsia="zh-CN" w:bidi="ar-SA"/>
        </w:rPr>
        <w:t>教育教学</w:t>
      </w:r>
    </w:p>
    <w:p w14:paraId="223B7DE5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落实立德树人根本任务，深化教育教学改革，人才培养质量不断提升。现有全日制本科在校生11067人，设15个二级学院，40个本科专业，涵盖教育学、文学、理学、工学、农学、法学、医学、管理学和艺术学等学科门类。入选国家级一流课程2门、省级一流课程41门，省级重点学科2个、应用型学科4个、应用型专业群3个、服务地方产业特色专业6个、省级一流专业9个，省级“课程思政”教育教学改革精品项目2项，省级精品在线开放课程1项，省“思政课程”教育教学改革精品项目1项，省级课程育人高校思想工作精品项目1项，省级课程思政课程、教学名师和团队4项，省级教改项目70项（其中重大教改项目12项），省级教学成果奖16项，省级教学团队3个，省级新工科建设项目3个，省级新文科建设项目2个，省级新文科优秀教学案例5个，省级新工科优秀教学案例1个，省级新工科实践平台1个，省级课程思政优秀教学案例3个，省级MOOC/在线开放课程优秀教学案例3个，国家级高校美育改革创新优秀案例1个，省级高校美育改革创新优秀案例2个，省级本科优秀特色教材一部。近五年学生参加省部级以上学科专业竞赛获奖940项，其中获国家级奖项248项,学生创新成果（论文、专利等）累计达393项。</w:t>
      </w:r>
    </w:p>
    <w:p w14:paraId="43549AD4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/>
        <w:spacing w:before="161" w:beforeLines="50" w:after="161" w:afterLines="50" w:line="560" w:lineRule="exact"/>
        <w:ind w:firstLine="723" w:firstLineChars="200"/>
        <w:textAlignment w:val="auto"/>
        <w:rPr>
          <w:rFonts w:hint="eastAsia" w:ascii="仿宋_GB2312" w:hAnsi="仿宋_GB2312" w:eastAsia="仿宋_GB2312" w:cs="仿宋_GB2312"/>
          <w:b/>
          <w:bCs/>
          <w:kern w:val="2"/>
          <w:sz w:val="36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6"/>
          <w:szCs w:val="36"/>
          <w:lang w:val="en-US" w:eastAsia="zh-CN" w:bidi="ar-SA"/>
        </w:rPr>
        <w:t>师资队伍</w:t>
      </w:r>
    </w:p>
    <w:p w14:paraId="514F545E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坚持人才强校，完善人才引进和培养机制，基本形成了一支数量适当、结构合理、素质优良的师资队伍。学校现有教职工935人，其中专任教师715人，具有高级职称253人，硕士及以上学历602人，博士生导师3人，硕士生导师95人，国家级人才1人，享受国务院特殊津贴专家2人，省级教学名师、省“雏鹰计划”青年拔尖人才、省引进高层次人才等省级高层次人才47人次，宁德市“天湖人才”170人。</w:t>
      </w:r>
    </w:p>
    <w:p w14:paraId="49F2864E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/>
        <w:spacing w:before="161" w:beforeLines="50" w:after="161" w:afterLines="50" w:line="560" w:lineRule="exact"/>
        <w:ind w:firstLine="723" w:firstLineChars="200"/>
        <w:textAlignment w:val="auto"/>
        <w:rPr>
          <w:rFonts w:hint="eastAsia" w:ascii="仿宋_GB2312" w:hAnsi="仿宋_GB2312" w:eastAsia="仿宋_GB2312" w:cs="仿宋_GB2312"/>
          <w:b/>
          <w:bCs/>
          <w:kern w:val="2"/>
          <w:sz w:val="36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6"/>
          <w:szCs w:val="36"/>
          <w:lang w:val="en-US" w:eastAsia="zh-CN" w:bidi="ar-SA"/>
        </w:rPr>
        <w:t>科学研究</w:t>
      </w:r>
    </w:p>
    <w:p w14:paraId="6CA6763F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学校高度重视科研工作，建设有“海西海洋特色生物种质资源及生物制品开发公共服务平台”等省部级及以上科研平台24个，校内科研机构14个，教学科研仪器设备资产总值 2.4672 亿元。教师承担国家级科研项目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45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项，省部级科研项目570余项，其他各级各类科研项目1500余项。拥有授权发明专利122件，获服务地方横向项目400余项。实施“师范教育亮色工程”专项、“重大项目培育计划”专项，共计立项200余项。教师发表学术论文1700余篇，其中SCI收录340余篇，出版学术著作104部，转化科研成果（含技术咨询）370余项，是福建省人民政府发展研究中心智库成员单位，获省级自然科学奖、科技进步奖、社科规划奖等12项。</w:t>
      </w:r>
    </w:p>
    <w:p w14:paraId="7D91265B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/>
        <w:spacing w:before="161" w:beforeLines="50" w:after="161" w:afterLines="50" w:line="560" w:lineRule="exact"/>
        <w:ind w:firstLine="723" w:firstLineChars="200"/>
        <w:textAlignment w:val="auto"/>
        <w:rPr>
          <w:rFonts w:hint="eastAsia" w:ascii="仿宋_GB2312" w:hAnsi="仿宋_GB2312" w:eastAsia="仿宋_GB2312" w:cs="仿宋_GB2312"/>
          <w:b/>
          <w:bCs/>
          <w:kern w:val="2"/>
          <w:sz w:val="36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6"/>
          <w:szCs w:val="36"/>
          <w:lang w:val="en-US" w:eastAsia="zh-CN" w:bidi="ar-SA"/>
        </w:rPr>
        <w:t>服务社会</w:t>
      </w:r>
    </w:p>
    <w:p w14:paraId="69C7E719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坚持扎根闽东，与地方发展同频共振。在市委、市政府支持下设立了“闽东乡村振兴学院”“宁德普惠金融研究院”。与青拓集团有限公司合作建立了青拓产业学院，与中科曙光合作建立了中科曙光产业学院，与正大集团合作建立了正大产业学院,与中国水产科学研究院东海水产研究所合作共建“宁德海洋渔业振兴学院”，分别与福建品品香茶业有限公司合作建立了品品香茶产业学院，与福耀玻璃集团、宁德新能源科技有限公司、宁德市以也海洋产业发展有限公司合作成立“福耀产学班”、“新能源产学班”、“以也产学班”。与国家地方志指导小组、福建省方志委等合作成立全国首个方志培训中心（全国地方志系统宁德培训基地），开办首个地方志与地情文献人才培养专修班；与三祥新材股份公司合作开设订单培养班；与上汽集团、时代新能源等建立多个校企合作项目；还先后成立数智宁德研究院等平台。开展“闽太子参产业技术体系创新应用”“超高效异步电机的节能新技术研究及产业化”“乡村振兴示范带建设成效评估”等一批与地方产业关联度高的重大科学研究；实施校级“服务地方专项行动计划”“科技特派员科研资助专项计划”等，共计立项290余项，与地方政府及行业企业实现科研项目直接对接400多项；累计选派服务地方科技特派员207人次，省级法人科技特派员3支，科技特派员团队29支。每年举办中小学学科带头人培训、教师岗前培训、基层党组织带头人、新型农业技术人员、少数民族电子商务、卫生专业技术人员等各类继续教育培训、考试1.5万人次。持续开展教育精准扶贫、义务支教、顶岗实习等实践活动，积极为宁德市补齐教育医疗卫生等社会民生短板服务。</w:t>
      </w:r>
    </w:p>
    <w:p w14:paraId="371F88D6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/>
        <w:spacing w:before="161" w:beforeLines="50" w:after="161" w:afterLines="50" w:line="560" w:lineRule="exact"/>
        <w:ind w:firstLine="723" w:firstLineChars="200"/>
        <w:textAlignment w:val="auto"/>
        <w:rPr>
          <w:rFonts w:hint="eastAsia" w:ascii="仿宋_GB2312" w:hAnsi="仿宋_GB2312" w:eastAsia="仿宋_GB2312" w:cs="仿宋_GB2312"/>
          <w:b/>
          <w:bCs/>
          <w:kern w:val="2"/>
          <w:sz w:val="36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6"/>
          <w:szCs w:val="36"/>
          <w:lang w:val="en-US" w:eastAsia="zh-CN" w:bidi="ar-SA"/>
        </w:rPr>
        <w:t>文化传承</w:t>
      </w:r>
    </w:p>
    <w:p w14:paraId="4F4A78AD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用好地方资源优势，特别是习近平总书记“六进宁师”丰厚资源，深入推进学习《摆脱贫困》进校园，组织编写思政课辅助教材《习近平在宁德的故事》，推动“习近平在宁德的故事”进校园学习实践活动，持续开展“弘扬闽东之光，传承红色基因，争做时代新人”、经典诗文诵读大赛、高雅艺术进校园等文化艺术活动,设立剪纸协会、茶艺协会等多个学生社团以及“柘荣剪纸衍生品艺术实践工作坊”等创新创业工作坊，形成了以“文化艺术月”“校园读书节”“毕业晚会”和“新年音乐会”等为代表的一批校园文体活动，常态化开展校训精神宣传学习宣传，校园内建设“弱鸟先飞”、“滴水穿石”小品雕塑，蓝田书院、非物质文化遗产“福船”等，营造浓厚的校园文化氛围。</w:t>
      </w:r>
    </w:p>
    <w:p w14:paraId="2A913BCC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建设“闽东之光”教育基地，包含民族团结进步教育中心和闽东红色文化教育中心，教育基地先后被评为全国民族团结进步教育基地、福建省学校“大思政课”实践教学基地、福建省首批高校党员教育基地等。成立闽东之光研究院，与地方合作共建“传播闽东之光”协同创新中心，整合资源、搭建研究平台，围绕“畲族文化和闽东传统文化研究方向”“闽东红色文化研究”“闽东摆脱贫困和乡村振兴研究”“闽东风光研究”四个方向组织校内外专家学者开展研究。举办“传播闽东之光 建好福建窗口”研讨会“‘山海宁德’文旅产业发展研讨会”“畲医药文化暨新技术开发研讨会”“李若初墨迹及其诗词书法创作展、研讨会”等，建设金斗洋村畲族武术实践与研究省级非遗研究基地、开发畲拳校本课程，形成了《凤凰锵锵杜鹃红》《闽东畲族村落文化传承及现代性建构研究》《闽东畲族红色故事选》《四库全书闽东卷》，以及原创话剧《畲情·1934》、声乐套曲《百丈英风》组歌等一批具有闽东特色的文化成果，多次在福建省大学生艺术节中获奖，“畲族歌舞”入选福建省高校中华优秀传统文化传承基地，“闽东畲族文化全书”等成果获得福建省社会科学优秀成果奖。</w:t>
      </w:r>
    </w:p>
    <w:p w14:paraId="4D9710E4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/>
        <w:spacing w:before="161" w:beforeLines="50" w:after="161" w:afterLines="50" w:line="560" w:lineRule="exact"/>
        <w:ind w:firstLine="723" w:firstLineChars="200"/>
        <w:textAlignment w:val="auto"/>
        <w:rPr>
          <w:rFonts w:hint="eastAsia" w:ascii="仿宋_GB2312" w:hAnsi="仿宋_GB2312" w:eastAsia="仿宋_GB2312" w:cs="仿宋_GB2312"/>
          <w:b/>
          <w:bCs/>
          <w:kern w:val="2"/>
          <w:sz w:val="36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6"/>
          <w:szCs w:val="36"/>
          <w:lang w:val="en-US" w:eastAsia="zh-CN" w:bidi="ar-SA"/>
        </w:rPr>
        <w:t>交流合作</w:t>
      </w:r>
    </w:p>
    <w:p w14:paraId="5FB95CCB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坚持开放办学，积极引进境外优质教育资源。与马来西亚马来亚大学、马来西亚砂拉越科技大学、美国加州州立理工大学（波莫纳）、俄罗斯托木斯克国立大学、德国比勒费尔德中等企业应用技术大学、澳大利亚西悉尼大学、英国切斯特大学等国外大学开展校际合作。与台湾义守大学、虎尾科技大学、侨光科技大学、屏东大学、岭东科技大学等开展闽台合作办学。</w:t>
      </w:r>
    </w:p>
    <w:p w14:paraId="4D33B197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学校不忘立德树人初心，牢记“为党育人、为国育才”使命，坚持以习近平新时代中国特色社会主义思想为指导，坚持为学生成长服务、为地方发展服务，突出师范性、应用性、地方性，以“新工科、新农科、新医科、新文科”建设为引领，致力于培养社会责任感、创新精神和实践能力强的高素质基础教育师资及应用型人才，努力建成省级一流应用型高校、争创全国教师教育改革实验区，在新时代新福建新宁德建设中展现更大作为。</w:t>
      </w:r>
    </w:p>
    <w:p w14:paraId="15DCFAD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383C21"/>
    <w:rsid w:val="32931520"/>
    <w:rsid w:val="65383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880" w:firstLineChars="200"/>
      <w:jc w:val="both"/>
    </w:pPr>
    <w:rPr>
      <w:rFonts w:eastAsia="仿宋_GB2312"/>
      <w:kern w:val="0"/>
      <w:sz w:val="32"/>
      <w:szCs w:val="20"/>
    </w:rPr>
  </w:style>
  <w:style w:type="paragraph" w:styleId="3">
    <w:name w:val="Body Text"/>
    <w:basedOn w:val="1"/>
    <w:qFormat/>
    <w:uiPriority w:val="0"/>
    <w:pPr>
      <w:jc w:val="center"/>
    </w:pPr>
    <w:rPr>
      <w:b/>
      <w:bCs/>
      <w:color w:val="FF0000"/>
      <w:sz w:val="48"/>
      <w:szCs w:val="27"/>
    </w:rPr>
  </w:style>
  <w:style w:type="paragraph" w:styleId="4">
    <w:name w:val="Body Text Indent"/>
    <w:basedOn w:val="1"/>
    <w:qFormat/>
    <w:uiPriority w:val="0"/>
    <w:pPr>
      <w:spacing w:line="360" w:lineRule="exact"/>
      <w:ind w:firstLine="420" w:firstLineChars="200"/>
    </w:pPr>
    <w:rPr>
      <w:rFonts w:ascii="宋体" w:hAnsi="宋体"/>
    </w:rPr>
  </w:style>
  <w:style w:type="paragraph" w:styleId="5">
    <w:name w:val="Body Text First Indent 2"/>
    <w:basedOn w:val="4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3476</Words>
  <Characters>3656</Characters>
  <Lines>0</Lines>
  <Paragraphs>0</Paragraphs>
  <TotalTime>0</TotalTime>
  <ScaleCrop>false</ScaleCrop>
  <LinksUpToDate>false</LinksUpToDate>
  <CharactersWithSpaces>3659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2025-09-25T02:32:00Z</dcterms:created>
  <dc:creator>不爱吃香蕉的猴子</dc:creator>
  <cp:lastModifiedBy>雨荷</cp:lastModifiedBy>
  <dcterms:modified xsi:type="dcterms:W3CDTF">2025-12-15T07:10:09Z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AF9B1F60433D470FBB36F9D188773434_13</vt:lpwstr>
  </property>
  <property fmtid="{D5CDD505-2E9C-101B-9397-08002B2CF9AE}" pid="4" name="KSOTemplateDocerSaveRecord">
    <vt:lpwstr>eyJoZGlkIjoiNjU5MzllNTBiMjc3M2FkYjU2ZmJhMmJiMTIzZjlhNjgiLCJ1c2VySWQiOiIzMDYxNTQ0NDMifQ==</vt:lpwstr>
  </property>
</Properties>
</file>